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72</w:t>
      </w:r>
    </w:p>
    <w:p>
      <w:r>
        <w:t>Bundesgericht (BGE), 1984-12-11, DE</w:t>
      </w:r>
    </w:p>
    <w:p>
      <w:r>
        <w:rPr>
          <w:b/>
        </w:rPr>
        <w:t xml:space="preserve">Quelle: </w:t>
      </w:r>
      <w:r>
        <w:t>https://mcp.opencaselaw.ch/entscheid/bge_110 III 72</w:t>
      </w:r>
    </w:p>
    <w:p>
      <w:r>
        <w:t>FR: ATF 110 III 72</w:t>
      </w:r>
    </w:p>
    <w:p>
      <w:r>
        <w:t>IT: DTF 110 III 72</w:t>
      </w:r>
    </w:p>
    <w:p>
      <w:pPr>
        <w:pStyle w:val="Heading2"/>
      </w:pPr>
      <w:r>
        <w:t>Regeste</w:t>
      </w:r>
    </w:p>
    <w:p>
      <w:r>
        <w:t>Regeste Art. 126 SchKG; Art. 41 Abs. 1, 54 Abs. 2 und 105 Abs. 2 VZG. Hat der Pfandgläubiger einer grundpfandversicherten Forderung lediglich für Zinsen betrieben, so darf der Zuschlag nur erfolgen, wenn auch die Kapitalforderung überboten ist. Die Zinsforderungen selber - und zwar auch solche von Gläubigern, die kein Verwertungsbegehren gestellt haben - fallen bei der Berechnung des Zuschlagspreises nicht in Betracht. Deshalb spielt es unter dem Blickwinkel von Art. 41 Abs. 1 VZG keine Rolle, ob die Zinsforderungen bestritten sind oder nicht; die Versteigerung braucht wegen bestrittener Zinsforderungen nicht eingestellt zu werden.</w:t>
      </w:r>
    </w:p>
    <w:p>
      <w:pPr>
        <w:pStyle w:val="Heading2"/>
      </w:pPr>
      <w:r>
        <w:t>Erwägungen</w:t>
      </w:r>
    </w:p>
    <w:p>
      <w:r>
        <w:rPr>
          <w:b/>
        </w:rPr>
        <w:t>E. 1</w:t>
      </w:r>
    </w:p>
    <w:p>
      <w:r>
        <w:t>Der vorliegende Rekurs stützt sich auf Art. 41 Abs. 1 (in Verbindung und Art. 102) VZG, wonach die Versteigerung bis zum Entscheid über einen in das Lastenverzeichnis aufgenommenen Anspruch einzustellen ist, sofern der Streit darüber die Festsetzung des Zuschlagspreises beeinflusst oder durch eine vorherige Steigerung sonst berechtigte Interessen verletzt würden. Nach der Meinung der Rekurrentin sollte noch vor der Verwertung entschieden werden, ob die im Lastenverzeichnis aufgeführten Pfandrechte anzuerkennen seien oder nicht; denn das habe einen Einfluss auf den Zuschlagspreis. a) Die kantonale Aufsichtsbehörde ist im angefochtenen Entscheid von dem in Art. 126 (i.V.m. Art. 156) SchKG normierten BGE 110 III 72 S. 74 Deckungsprinzip ausgegangen. Darnach wird der Verwertungsgegenstand dem Meistbietenden zugeschlagen, sofern das Angebot den Betrag allfälliger dem betreibenden Gläubiger im Range vorangehender pfandversicherter Forderungen übersteigt. Nach der Feststellung der Aufsichtsbehörde ist die betreibende Graubündner Kantonalbank Pfandgläubigerin im ersten Rang. Infolgedessen müsse der Zuschlagspreis die Forderungen aus gesetzlichen Pfandrechten decken, die den im ersten Rang gesicherten Forderungen vorangehen. Da die Pfandgläubigerin im ersten Rang nicht ihre Kapitalforderungen, sondern nur die verfallenen Zinsforderungen betrieben habe, müsse der Zuschlagspreis ausser den durch gesetzliche Pfandrechte gesicherten Forderungen auch die Kapitalforderung im ersten Rang der Graubündner Kantonalbank decken. Damit hat die Aufsichtsbehörde Art. 54 Abs. 2 VZG angewandt; und insoweit ist ihr Entscheid nicht angefochten. Bei der Berechnung des Zuschlagspreises hat die Aufsichtsbehörde die Zinsforderung der Graubündner Kantonalbank nicht miteinbezogen. Auch das ist von keiner Seite angefochten. b) Bezüglich der Zinsforderungen der Solidargläubiger Ekatit Riedinger Verwaltungs-AG, Sigrun Meissner und Viva-Hotelbetriebs-AG, welche in die Rechte der Bank eingetreten sind, hat sich die Aufsichtsbehörde auf den Standpunkt gestellt, dass diese Pfandgläubiger als mitbetreibend im Sinne von Art. 105 Abs. 2 VZG gälten. Daher fielen auch deren Zinsforderungen bei der Berechnung des Zuschlagspreises nicht in Betracht und beeinflusse der Streit über die Aufnahme dieser umstrittenen Zinsforderungen die Festsetzung des Zuschlagspreises nicht. Dem hält nun die Rekurrentin eine Auslegung von Art. 54 Abs. 2 VZG entgegen, die besagen soll, dass alle nicht betriebenen Forderungen, handle es sich um Kapital- oder um Zinsforderungen, bei der Berechnung des Zuschlagspreises miteinbezogen werden müssten. Doch gesteht die Rekurrentin selber ein, dass sich diese Auffassung nicht mit dem Wortlaut des Verordnungstextes deckt, der klar sagt, dass "die Kapitalforderung, soweit sie nicht in Betreibung gesetzt wurde", überboten werden muss. Von einer Lücke im Verordnungstext (in dem Sinne, dass eine sich unvermeidlicherweise stellende Frage vom Gesetz überhaupt nicht oder nicht befriedigend beantwortet wird) kann entgegen der Auffassung der Rekurrentin keine Rede sein. Auch beruft sich diese vergeblich auf BGE 107 III 122 ff. Dort wurde die Frage beantwortet, wie vorzugehen ist, wenn eine in das Lastenverzeichnis aufgenommene BGE 110 III 72 S. 75 Kapitalforderung bestritten ist. Es wurde entschieden, dass im Lichte von Art. 41 Abs. 1 VZG kein Raum mehr für die Berücksichtigung "eventuell noch beim Richter anhängiger Pfandforderungen" bleibt. Damit legte das Bundesgericht Art. 53 Abs. 1 VZG aus, der die allgemeine Regel für die Berechnung des Zuschlagspreises aufstellt, wenn den Forderungen des betreibenden Gläubigers andere pfandversicherte Kapital- oder Zinsforderungen vorgehen. Der Sonderfall, wo der Pfandgläubiger nur für Zinsen oder nur für einen Teil der Kapitalforderung auf Pfändung betrieben hat, wird in Art. 54 Abs. 2 VZG geregelt; dort ist klar und unmissverständlich nur von der nicht betriebenen Kapitalforderung die Rede, die vom Zuschlagspreis überboten werden muss. Die kantonale Aufsichtsbehörde hat auch Art. 105 Abs. 2 VZG richtig angewandt, indem sie die Zinsforderungen, welche durch Pfandrechte in demselben Rang gesichert sind, gleich behandelt hat. Nach dieser Bestimmung gelten die ranggleichen Pfandgläubiger als mitbetreibend, selbst wenn einzelne von ihnen die Verwertung nicht verlangt haben. Daraus folgt, dass auch Zinsforderungen von Gläubigern, die kein Verwertungsbegehren gestellt haben - im vorliegenden Fall die Zinsforderungen der Solidargläubiger Ekatit Riedinger Verwaltungs-AG, Sigrun Meissner und Viva-Hotelbetriebs-AG -, in gleicher Weise wie die Zinsforderungen der betreibenden Gläubiger bei der Berechnung des Zuschlagspreises nicht berücksichtigt werden. Hat nach dem Gesagten nur die Kapitalforderung einen Einfluss auf die Festsetzung des Zuschlagspreises, so spielt es unter dem Gesichtswinkel von Art. 41 Abs. 1 VZG keine Rolle, ob die Zinsforderungen der genannten Gläubiger bestritten sind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